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dashed" w:color="auto" w:sz="4" w:space="9"/>
        </w:pBdr>
        <w:spacing w:after="180" w:afterAutospacing="0"/>
        <w:ind w:left="0" w:firstLine="0"/>
        <w:jc w:val="center"/>
        <w:rPr>
          <w:rFonts w:ascii="黑体" w:hAnsi="宋体" w:eastAsia="黑体" w:cs="黑体"/>
          <w:b/>
          <w:bCs/>
          <w:i w:val="0"/>
          <w:iCs w:val="0"/>
          <w:caps w:val="0"/>
          <w:color w:val="000000"/>
          <w:spacing w:val="0"/>
          <w:sz w:val="24"/>
          <w:szCs w:val="24"/>
        </w:rPr>
      </w:pPr>
      <w:r>
        <w:rPr>
          <w:rFonts w:ascii="黑体" w:hAnsi="宋体" w:eastAsia="黑体" w:cs="黑体"/>
          <w:b/>
          <w:bCs/>
          <w:i w:val="0"/>
          <w:iCs w:val="0"/>
          <w:caps w:val="0"/>
          <w:color w:val="000000"/>
          <w:spacing w:val="0"/>
          <w:kern w:val="0"/>
          <w:sz w:val="24"/>
          <w:szCs w:val="24"/>
          <w:lang w:val="en-US" w:eastAsia="zh-CN" w:bidi="ar"/>
        </w:rPr>
        <w:t>取水许可和水资源费征收管理条例</w:t>
      </w:r>
    </w:p>
    <w:p>
      <w:pPr>
        <w:pStyle w:val="9"/>
        <w:keepNext w:val="0"/>
        <w:keepLines w:val="0"/>
        <w:widowControl/>
        <w:suppressLineNumbers w:val="0"/>
        <w:spacing w:line="360" w:lineRule="atLeast"/>
        <w:jc w:val="center"/>
      </w:pPr>
      <w:r>
        <w:rPr>
          <w:rFonts w:ascii="微软雅黑" w:hAnsi="微软雅黑" w:eastAsia="微软雅黑" w:cs="微软雅黑"/>
          <w:i w:val="0"/>
          <w:iCs w:val="0"/>
          <w:caps w:val="0"/>
          <w:color w:val="000000"/>
          <w:spacing w:val="0"/>
          <w:sz w:val="27"/>
          <w:szCs w:val="27"/>
        </w:rPr>
        <w:t>取水许可和水资源费征收管理条例</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第一章　总　　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第一条　为加强水资源管理和保护，促进水资源的节约与合理开发利用，根据《中华人民共和国水法》，制定本条例。</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第二条　本条例所称取水，是指利用取水工程或者设施直接从江河、湖泊或者地下取用水资源。</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取用水资源的单位和个人，除本条例第四条规定的情形外，都应当申请领取取水许可证，并缴纳水资源费。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本条例所称取水工程或者设施，是指闸、坝、渠道、人工河道、虹吸管、水泵、水井以及水电站等。</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第三条　县级以上人民政府水行政主管部门按照分级管理权限，负责取水许可制度的组织实施和监督管理。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国务院水行政主管部门在国家确定的重要江河、湖泊设立的流域管理机构（以下简称流域管理机构），依照本条例规定和国务院水行政主管部门授权，负责所管辖范围内取水许可制度的组织实施和监督管理。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县级以上人民政府水行政主管部门、财政部门和价格主管部门依照本条例规定和管理权限，负责水资源费的征收、管理和监督。</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第四条　下列情形不需要申请领取取水许可证：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（一）农村集体经济组织及其成员使用本集体经济组织的水塘、水库中的水的；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（二）家庭生活和零星散养、圈养畜禽饮用等少量取水的；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（三）为保障矿井等地下工程施工安全和生产安全必须进行临时应急取（排）水的；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（四）为消除对公共安全或者公共利益的危害临时应急取水的；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（五）为农业抗旱和维护生态与环境必须临时应急取水的。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第五条　取水许可应当首先满足城乡居民生活用水，并兼顾农业、工业、生态与环境用水以及航运等需要。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省、自治区、直辖市人民政府可以依照本条例规定的职责权限，在同一流域或者区域内，根据实际情况对前款各项用水规定具体的先后顺序。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第六条　实施取水许可必须符合水资源综合规划、流域综合规划、水中长期供求规划和水功能区划，遵守依照《中华人民共和国水法》规定批准的水量分配方案；尚未制定水量分配方案的，应当遵守有关地方人民政府间签订的协议。</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第七条　实施取水许可应当坚持地表水与地下水统筹考虑，开源与节流相结合、节流优先的原则，实行总量控制与定额管理相结合。</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流域内批准取水的总耗水量不得超过本流域水资源可利用量。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行政区域内批准取水的总水量，不得超过流域管理机构或者上一级水行政主管部门下达的可供本行政区域取用的水量；其中，批准取用地下水的总水量，不得超过本行政区域地下水可开采量，并应当符合地下水开发利用规划的要求。制定地下水开发利用规划应当征求国土资源主管部门的意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第八条　取水许可和水资源费征收管理制度的实施应当遵循公开、公平、公正、高效和便民的原则。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第九条　任何单位和个人都有节约和保护水资源的义务。</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对节约和保护水资源有突出贡献的单位和个人，由县级以上人民政府给予表彰和奖励。</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第二章　取水的申请和受理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第十条　申请取水的单位或者个人（以下简称申请人），应当向具有审批权限的审批机关提出申请。申请利用多种水源，且各种水源的取水许可审批机关不同的，应当向其中最高一级审批机关提出申请。</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第十一条　申请取水应当提交下列材料：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（一）申请书；</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（二）与第三者利害关系的相关说明；</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（三）属于备案项目的，提供有关备案材料；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（四）国务院水行政主管部门规定的其他材料。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建设项目需要取水的，申请人还应当提交由具备建设项目水资源论证资质的单位编制的建设项目水资源论证报告书。论证报告书应当包括取水水源、用水合理性以及对生态与环境的影响等内容。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第十二条　申请书应当包括下列事项：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（一）申请人的名称（姓名）、地址；</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（二）申请理由；</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（三）取水的起始时间及期限；</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（四）取水目的、取水量、年内各月的用水量等；</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（五）水源及取水地点；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（六）取水方式、计量方式和节水措施；</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（七）退水地点和退水中所含主要污染物以及污水处理措施；</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（八）国务院水行政主管部门规定的其他事项。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第十三条　县级以上地方人民政府水行政主管部门或者流域管理机构，应当自收到取水申请之日起5个工作日内对申请材料进行审查，并根据下列不同情形分别作出处理：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（一）申请材料齐全、符合法定形式、属于本机关受理范围的，予以受理；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（二）提交的材料不完备或者申请书内容填注不明的，通知申请人补正；</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（三）不属于本机关受理范围的，告知申请人向有受理权限的机关提出申请。</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第三章　取水许可的审查和决定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第十四条　取水许可实行分级审批。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下列取水由流域管理机构审批：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（一）长江、黄河、淮河、海河、滦河、珠江、松花江、辽河、金沙江、汉江的干流和太湖以及其他跨省、自治区、直辖市河流、湖泊的指定河段限额以上的取水；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（二）国际跨界河流的指定河段和国际边界河流限额以上的取水；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（三）省际边界河流、湖泊限额以上的取水；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（四）跨省、自治区、直辖市行政区域的取水；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（五）由国务院或者国务院投资主管部门审批、核准的大型建设项目的取水；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（六）流域管理机构直接管理的河道（河段）、湖泊内的取水。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前款所称的指定河段和限额以及流域管理机构直接管理的河道（河段）、湖泊，由国务院水行政主管部门规定。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其他取水由县级以上地方人民政府水行政主管部门按照省、自治区、直辖市人民政府规定的审批权限审批。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第十五条　批准的水量分配方案或者签订的协议是确定流域与行政区域取水许可总量控制的依据。</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跨省、自治区、直辖市的江河、湖泊，尚未制定水量分配方案或者尚未签订协议的，有关省、自治区、直辖市的取水许可总量控制指标，由流域管理机构根据流域水资源条件，依据水资源综合规划、流域综合规划和水中长期供求规划，结合各省、自治区、直辖市取水现状及供需情况，商有关省、自治区、直辖市人民政府水行政主管部门提出，报国务院水行政主管部门批准；设区的市、县（市）行政区域的取水许可总量控制指标，由省、自治区、直辖市人民政府水行政主管部门依据本省、自治区、直辖市取水许可总量控制指标，结合各地取水现状及供需情况制定，并报流域管理机构备案。</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第十六条　按照行业用水定额核定的用水量是取水量审批的主要依据。</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省、自治区、直辖市人民政府水行政主管部门和质量监督检验管理部门对本行政区域行业用水定额的制定负责指导并组织实施。</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尚未制定本行政区域行业用水定额的，可以参照国务院有关行业主管部门制定的行业用水定额执行。</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第十七条　审批机关受理取水申请后，应当对取水申请材料进行全面审查，并综合考虑取水可能对水资源的节约保护和经济社会发展带来的影响，决定是否批准取水申请。</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第十八条　审批机关认为取水涉及社会公共利益需要听证的，应当向社会公告，并举行听证。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取水涉及申请人与他人之间重大利害关系的，审批机关在作出是否批准取水申请的决定前，应当告知申请人、利害关系人。申请人、利害关系人要求听证的，审批机关应当组织听证。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因取水申请引起争议或者诉讼的，审批机关应当书面通知申请人中止审批程序；争议解决或者诉讼终止后，恢复审批程序。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第十九条　审批机关应当自受理取水申请之日起45个工作日内决定批准或者不批准。决定批准的，应当同时签发取水申请批准文件。</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对取用城市规划区地下水的取水申请，审批机关应当征求城市建设主管部门的意见，城市建设主管部门应当自收到征求意见材料之日起5个工作日内提出意见并转送取水审批机关。</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本条第一款规定的审批期限，不包括举行听证和征求有关部门意见所需的时间。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第二十条　有下列情形之一的，审批机关不予批准，并在作出不批准的决定时，书面告知申请人不批准的理由和依据：</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（一）在地下水禁采区取用地下水的；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（二）在取水许可总量已经达到取水许可控制总量的地区增加取水量的；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（三）可能对水功能区水域使用功能造成重大损害的；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（四）取水、退水布局不合理的；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（五）城市公共供水管网能够满足用水需要时，建设项目自备取水设施取用地下水的；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（六）可能对第三者或者社会公共利益产生重大损害的；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（七）属于备案项目，未报送备案的；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（八）法律、行政法规规定的其他情形。</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审批的取水量不得超过取水工程或者设施设计的取水量。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第二十一条　取水申请经审批机关批准，申请人方可兴建取水工程或者设施。需由国家审批、核准的建设项目，未取得取水申请批准文件的，项目主管部门不得审批、核准该建设项目。</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第二十二条　取水申请批准后3年内，取水工程或者设施未开工建设，或者需由国家审批、核准的建设项目未取得国家审批、核准的，取水申请批准文件自行失效。</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建设项目中取水事项有较大变更的，建设单位应当重新进行建设项目水资源论证，并重新申请取水。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第二十三条　取水工程或者设施竣工后，申请人应当按照国务院水行政主管部门的规定，向取水审批机关报送取水工程或者设施试运行情况等相关材料；经验收合格的，由审批机关核发取水许可证。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直接利用已有的取水工程或者设施取水的，经审批机关审查合格，发给取水许可证。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审批机关应当将发放取水许可证的情况及时通知取水口所在地县级人民政府水行政主管部门，并定期对取水许可证的发放情况予以公告。</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第二十四条　取水许可证应当包括下列内容：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（一）取水单位或者个人的名称（姓名）；</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（二）取水期限；</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（三）取水量和取水用途；</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（四）水源类型；</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（五）取水、退水地点及退水方式、退水量。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前款第（三）项规定的取水量是在江河、湖泊、地下水多年平均水量情况下允许的取水单位或者个人的最大取水量。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取水许可证由国务院水行政主管部门统一制作，审批机关核发取水许可证只能收取工本费。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第二十五条　取水许可证有效期限一般为5年，最长不超过10年。有效期届满，需要延续的，取水单位或者个人应当在有效期届满45日前向原审批机关提出申请，原审批机关应当在有效期届满前，作出是否延续的决定。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第二十六条　取水单位或者个人要求变更取水许可证载明的事项的，应当依照本条例的规定向原审批机关申请，经原审批机关批准，办理有关变更手续。</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第二十七条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第四章　水资源费的征收和使用管理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第二十八条　取水单位或者个人应当缴纳水资源费。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取水单位或者个人应当按照经批准的年度取水计划取水。超计划或者超定额取水的，对超计划或者超定额部分累进收取水资源费。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第二十九条　制定水资源费征收标准，应当遵循下列原则：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（一）促进水资源的合理开发、利用、节约和保护；</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（二）与当地水资源条件和经济社会发展水平相适应；</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（三）统筹地表水和地下水的合理开发利用，防止地下水过量开采；</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（四）充分考虑不同产业和行业的差别。</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第三十条　各级地方人民政府应当采取措施，提高农业用水效率，发展节水型农业。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农业生产取水的水资源费征收标准应当根据当地水资源条件、农村经济发展状况和促进农业节约用水需要制定。农业生产取水的水资源费征收标准应当低于其他用水的水资源费征收标准，粮食作物的水资源费征收标准应当低于经济作物的水资源费征收标准。农业生产取水的水资源费征收的步骤和范围由省、自治区、直辖市人民政府规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第三十一条　水资源费由取水审批机关负责征收；其中，流域管理机构审批的，水资源费由取水口所在地省、自治区、直辖市人民政府水行政主管部门代为征收。</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第三十二条　水资源费缴纳数额根据取水口所在地水资源费征收标准和实际取水量确定。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水力发电用水和火力发电贯流式冷却用水可以根据取水口所在地水资源费征收标准和实际发电量确定缴纳数额。</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第三十三条　取水审批机关确定水资源费缴纳数额后，应当向取水单位或者个人送达水资源费缴纳通知单，取水单位或者个人应当自收到缴纳通知单之日起7日内办理缴纳手续。</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直接从江河、湖泊或者地下取用水资源从事农业生产的，对超过省、自治区、直辖市规定的农业生产用水限额部分的水资源，由取水单位或者个人根据取水口所在地水资源费征收标准和实际取水量缴纳水资源费；符合规定的农业生产用水限额的取水，不缴纳水资源费。取用供水工程的水从事农业生产的，由用水单位或者个人按照实际用水量向供水工程单位缴纳水费，由供水工程单位统一缴纳水资源费；水资源费计入供水成本。</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为了公共利益需要，按照国家批准的跨行政区域水量分配方案实施的临时应急调水，由调入区域的取用水的单位或者个人，根据所在地水资源费征收标准和实际取水量缴纳水资源费。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第三十四条　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第三十五条　征收的水资源费应当按照国务院财政部门的规定分别解缴中央和地方国库。因筹集水利工程基金，国务院对水资源费的提取、解缴另有规定的，从其规定。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第三十六条　征收的水资源费应当全额纳入财政预算，由财政部门按照批准的部门财政预算统筹安排，主要用于水资源的节约、保护和管理，也可以用于水资源的合理开发。</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第三十七条　任何单位和个人不得截留、侵占或者挪用水资源费。</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审计机关应当加强对水资源费使用和管理的审计监督。</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第五章　监督管理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第三十八条　县级以上人民政府水行政主管部门或者流域管理机构应当依照本条例规定，加强对取水许可制度实施的监督管理。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县级以上人民政府水行政主管部门、财政部门和价格主管部门应当加强对水资源费征收、使用情况的监督管理。</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第三十九条　年度水量分配方案和年度取水计划是年度取水总量控制的依据，应当根据批准的水量分配方案或者签订的协议，结合实际用水状况、行业用水定额、下一年度预测来水量等制定。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国家确定的重要江河、湖泊的流域年度水量分配方案和年度取水计划，由流域管理机构会同有关省、自治区、直辖市人民政府水行政主管部门制定。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县级以上各地方行政区域的年度水量分配方案和年度取水计划，由县级以上地方人民政府水行政主管部门根据上一级地方人民政府水行政主管部门或者流域管理机构下达的年度水量分配方案和年度取水计划制定。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第四十条　取水审批机关依照本地区下一年度取水计划、取水单位或者个人提出的下一年度取水计划建议，按照统筹协调、综合平衡、留有余地的原则，向取水单位或者个人下达下一年度取水计划。</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取水单位或者个人因特殊原因需要调整年度取水计划的，应当经原审批机关同意。</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第四十一条　有下列情形之一的，审批机关可以对取水单位或者个人的年度取水量予以限制：</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（一）因自然原因，水资源不能满足本地区正常供水的；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（二）取水、退水对水功能区水域使用功能、生态与环境造成严重影响的；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（三）地下水严重超采或者因地下水开采引起地面沉降等地质灾害的；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（四）出现需要限制取水量的其他特殊情况的。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发生重大旱情时，审批机关可以对取水单位或者个人的取水量予以紧急限制。</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第四十二条　取水单位或者个人应当在每年的12月31日前向审批机关报送本年度的取水情况和下一年度取水计划建议。</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审批机关应当按年度将取用地下水的情况抄送同级国土资源主管部门，将取用城市规划区地下水的情况抄送同级城市建设主管部门。</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审批机关依照本条例第四十一条第一款的规定，需要对取水单位或者个人的年度取水量予以限制的，应当在采取限制措施前及时书面通知取水单位或者个人。</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第四十三条　取水单位或者个人应当依照国家技术标准安装计量设施，保证计量设施正常运行，并按照规定填报取水统计报表。</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第四十四条　连续停止取水满2年的，由原审批机关注销取水许可证。由于不可抗力或者进行重大技术改造等原因造成停止取水满2年的，经原审批机关同意，可以保留取水许可证。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第四十五条　县级以上人民政府水行政主管部门或者流域管理机构在进行监督检查时，有权采取下列措施：　</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（一）要求被检查单位或者个人提供有关文件、证照、资料；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（二）要求被检查单位或者个人就执行本条例的有关问题作出说明；</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（三）进入被检查单位或者个人的生产场所进行调查；</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（四）责令被检查单位或者个人停止违反本条例的行为，履行法定义务。</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监督检查人员在进行监督检查时，应当出示合法有效的行政执法证件。有关单位和个人对监督检查工作应当给予配合，不得拒绝或者阻碍监督检查人员依法执行公务。</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第四十六条　县级以上地方人民政府水行政主管部门应当按照国务院水行政主管部门的规定，及时向上一级水行政主管部门或者所在流域的流域管理机构报送本行政区域上一年度取水许可证发放情况。</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流域管理机构应当按照国务院水行政主管部门的规定，及时向国务院水行政主管部门报送其上一年度取水许可证发放情况，并同时抄送取水口所在地省、自治区、直辖市人民政府水行政主管部门。</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第六章　法律责任</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第四十七条　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（一）对符合法定条件的取水申请不予受理或者不在法定期限内批准的；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（二）对不符合法定条件的申请人签发取水申请批准文件或者发放取水许可证的；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（三）违反审批权限签发取水申请批准文件或者发放取水许可证的；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（四）对未取得取水申请批准文件的建设项目，擅自审批、核准的；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（五）不按照规定征收水资源费，或者对不符合缓缴条件而批准缓缴水资源费的；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（六）侵占、截留、挪用水资源费的；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（七）不履行监督职责，发现违法行为不予查处的；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（八）其他滥用职权、玩忽职守、徇私舞弊的行为。</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前款第（六）项规定的被侵占、截留、挪用的水资源费，应当依法予以追缴。</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第四十八条　未经批准擅自取水，或者未依照批准的取水许可规定条件取水的，依照《中华人民共和国水法》第六十九条规定处罚；给他人造成妨碍或者损失的，应当排除妨碍、赔偿损失。</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第五十一条　拒不执行审批机关作出的取水量限制决定，或者未经批准擅自转让取水权的，责令停止违法行为，限期改正，处2万元以上10万元以下罚款；逾期拒不改正或者情节严重的，吊销取水许可证。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第五十二条　有下列行为之一的，责令停止违法行为，限期改正，处5000元以上2万元以下罚款；情节严重的，吊销取水许可证：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（一）不按照规定报送年度取水情况的；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（二）拒绝接受监督检查或者弄虚作假的；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（三）退水水质达不到规定要求的。</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第五十三条　未安装计量设施的，责令限期安装，并按照日最大取水能力计算的取水量和水资源费征收标准计征水资源费，处5000元以上2万元以下罚款；情节严重的，吊销取水许可证。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计量设施不合格或者运行不正常的，责令限期更换或者修复；逾期不更换或者不修复的，按照日最大取水能力计算的取水量和水资源费征收标准计征水资源费，可以处1万元以下罚款；情节严重的，吊销取水许可证。</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第五十四条　取水单位或者个人拒不缴纳、拖延缴纳或者拖欠水资源费的，依照《中华人民共和国水法》第七十条规定处罚。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第五十五条　对违反规定征收水资源费、取水许可证照费的，由价格主管部门依法予以行政处罚。</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第五十六条　伪造、涂改、冒用取水申请批准文件、取水许可证的，责令改正，没收违法所得和非法财物，并处2万元以上10万元以下罚款；构成犯罪的，依法追究刑事责任。</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第五十七条　本条例规定的行政处罚，由县级以上人民政府水</w:t>
      </w:r>
      <w:bookmarkStart w:id="0" w:name="_GoBack"/>
      <w:bookmarkEnd w:id="0"/>
      <w:r>
        <w:rPr>
          <w:rFonts w:hint="eastAsia" w:ascii="微软雅黑" w:hAnsi="微软雅黑" w:eastAsia="微软雅黑" w:cs="微软雅黑"/>
          <w:i w:val="0"/>
          <w:iCs w:val="0"/>
          <w:caps w:val="0"/>
          <w:color w:val="000000"/>
          <w:spacing w:val="0"/>
          <w:sz w:val="27"/>
          <w:szCs w:val="27"/>
        </w:rPr>
        <w:t>行政主管部门或者流域管理机构按照规定的权限决定。</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第七章　附　　则</w:t>
      </w:r>
    </w:p>
    <w:p>
      <w:pPr>
        <w:pStyle w:val="9"/>
        <w:keepNext w:val="0"/>
        <w:keepLines w:val="0"/>
        <w:widowControl/>
        <w:suppressLineNumbers w:val="0"/>
        <w:spacing w:line="360" w:lineRule="atLeast"/>
      </w:pPr>
      <w:r>
        <w:rPr>
          <w:rFonts w:hint="eastAsia" w:ascii="微软雅黑" w:hAnsi="微软雅黑" w:eastAsia="微软雅黑" w:cs="微软雅黑"/>
          <w:i w:val="0"/>
          <w:iCs w:val="0"/>
          <w:caps w:val="0"/>
          <w:color w:val="000000"/>
          <w:spacing w:val="0"/>
          <w:sz w:val="27"/>
          <w:szCs w:val="27"/>
        </w:rPr>
        <w:t>　　第五十八条　本条例自2006年4月15日起施行。1993年8月1日国务院发布的《取水许可制度实施办法》同时废止。</w:t>
      </w:r>
    </w:p>
    <w:p>
      <w:pPr>
        <w:keepNext w:val="0"/>
        <w:keepLines w:val="0"/>
        <w:widowControl/>
        <w:suppressLineNumbers w:val="0"/>
        <w:spacing w:line="36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79D216ED"/>
    <w:rsid w:val="00974E00"/>
    <w:rsid w:val="110A41B5"/>
    <w:rsid w:val="1313570F"/>
    <w:rsid w:val="17717994"/>
    <w:rsid w:val="1A7A695D"/>
    <w:rsid w:val="1BC73208"/>
    <w:rsid w:val="218660F7"/>
    <w:rsid w:val="2B06251A"/>
    <w:rsid w:val="2B173DD6"/>
    <w:rsid w:val="2CBA3F4A"/>
    <w:rsid w:val="2D830896"/>
    <w:rsid w:val="2F3434F0"/>
    <w:rsid w:val="2FE450DA"/>
    <w:rsid w:val="326741EA"/>
    <w:rsid w:val="33F72994"/>
    <w:rsid w:val="38200FB6"/>
    <w:rsid w:val="445116B0"/>
    <w:rsid w:val="44522A59"/>
    <w:rsid w:val="491571A1"/>
    <w:rsid w:val="4B184A89"/>
    <w:rsid w:val="4E4B3E88"/>
    <w:rsid w:val="56971495"/>
    <w:rsid w:val="593377DA"/>
    <w:rsid w:val="5E760C0A"/>
    <w:rsid w:val="639F1B35"/>
    <w:rsid w:val="65A52267"/>
    <w:rsid w:val="693E713A"/>
    <w:rsid w:val="6AE74F7E"/>
    <w:rsid w:val="6D300379"/>
    <w:rsid w:val="6D7363B3"/>
    <w:rsid w:val="6DED6689"/>
    <w:rsid w:val="743014AF"/>
    <w:rsid w:val="74451A75"/>
    <w:rsid w:val="77D46498"/>
    <w:rsid w:val="79D216ED"/>
    <w:rsid w:val="7A710392"/>
    <w:rsid w:val="7BC55C1E"/>
    <w:rsid w:val="7D790C60"/>
    <w:rsid w:val="7F2E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104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1"/>
    <w:link w:val="13"/>
    <w:qFormat/>
    <w:uiPriority w:val="0"/>
    <w:pPr>
      <w:keepNext/>
      <w:keepLines/>
      <w:adjustRightInd w:val="0"/>
      <w:snapToGrid w:val="0"/>
      <w:spacing w:beforeLines="0" w:beforeAutospacing="0" w:afterLines="0" w:afterAutospacing="0" w:line="240" w:lineRule="auto"/>
      <w:ind w:firstLine="0" w:firstLineChars="0"/>
      <w:jc w:val="center"/>
      <w:outlineLvl w:val="0"/>
    </w:pPr>
    <w:rPr>
      <w:rFonts w:eastAsia="方正仿宋_GB2312"/>
      <w:b/>
      <w:kern w:val="44"/>
      <w:sz w:val="44"/>
      <w:szCs w:val="36"/>
    </w:rPr>
  </w:style>
  <w:style w:type="paragraph" w:styleId="5">
    <w:name w:val="heading 2"/>
    <w:basedOn w:val="1"/>
    <w:next w:val="1"/>
    <w:link w:val="14"/>
    <w:semiHidden/>
    <w:unhideWhenUsed/>
    <w:qFormat/>
    <w:uiPriority w:val="0"/>
    <w:pPr>
      <w:adjustRightInd w:val="0"/>
      <w:snapToGrid w:val="0"/>
      <w:spacing w:line="360" w:lineRule="auto"/>
      <w:ind w:left="0" w:right="0" w:firstLine="0" w:firstLineChars="0"/>
      <w:jc w:val="left"/>
      <w:outlineLvl w:val="1"/>
    </w:pPr>
    <w:rPr>
      <w:rFonts w:eastAsia="方正仿宋_GB2312" w:cs="Times New Roman"/>
      <w:b/>
      <w:bCs/>
      <w:sz w:val="32"/>
      <w:szCs w:val="32"/>
      <w:lang w:val="zh-CN" w:bidi="zh-CN"/>
    </w:rPr>
  </w:style>
  <w:style w:type="paragraph" w:styleId="6">
    <w:name w:val="heading 3"/>
    <w:basedOn w:val="1"/>
    <w:next w:val="1"/>
    <w:semiHidden/>
    <w:unhideWhenUsed/>
    <w:qFormat/>
    <w:uiPriority w:val="0"/>
    <w:pPr>
      <w:keepNext/>
      <w:keepLines/>
      <w:adjustRightInd w:val="0"/>
      <w:snapToGrid w:val="0"/>
      <w:spacing w:line="360" w:lineRule="auto"/>
      <w:ind w:firstLine="0" w:firstLineChars="0"/>
      <w:jc w:val="left"/>
      <w:outlineLvl w:val="2"/>
    </w:pPr>
    <w:rPr>
      <w:b/>
      <w:sz w:val="30"/>
      <w:szCs w:val="30"/>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footer"/>
    <w:basedOn w:val="1"/>
    <w:link w:val="15"/>
    <w:qFormat/>
    <w:uiPriority w:val="0"/>
    <w:pPr>
      <w:tabs>
        <w:tab w:val="center" w:pos="4153"/>
        <w:tab w:val="right" w:pos="8306"/>
      </w:tabs>
      <w:adjustRightInd w:val="0"/>
      <w:snapToGrid w:val="0"/>
      <w:spacing w:line="360" w:lineRule="auto"/>
      <w:jc w:val="center"/>
    </w:pPr>
    <w:rPr>
      <w:rFonts w:ascii="Times New Roman" w:hAnsi="Times New Roman" w:eastAsia="宋体"/>
      <w:sz w:val="18"/>
      <w:szCs w:val="18"/>
    </w:rPr>
  </w:style>
  <w:style w:type="paragraph" w:styleId="8">
    <w:name w:val="toc 1"/>
    <w:basedOn w:val="1"/>
    <w:next w:val="1"/>
    <w:qFormat/>
    <w:uiPriority w:val="0"/>
    <w:pPr>
      <w:ind w:left="0" w:hanging="348"/>
    </w:pPr>
    <w:rPr>
      <w:rFonts w:ascii="Times New Roman" w:hAnsi="Times New Roman" w:eastAsia="方正仿宋_GB2312" w:cs="Times New Roman"/>
      <w:sz w:val="28"/>
      <w:szCs w:val="2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able Paragraph"/>
    <w:basedOn w:val="1"/>
    <w:qFormat/>
    <w:uiPriority w:val="1"/>
    <w:pPr>
      <w:adjustRightInd w:val="0"/>
      <w:snapToGrid w:val="0"/>
    </w:pPr>
    <w:rPr>
      <w:rFonts w:ascii="Times New Roman" w:hAnsi="Times New Roman" w:eastAsia="宋体" w:cs="Times New Roman"/>
      <w:sz w:val="21"/>
      <w:szCs w:val="22"/>
      <w:lang w:val="zh-CN" w:bidi="zh-CN"/>
    </w:rPr>
  </w:style>
  <w:style w:type="character" w:customStyle="1" w:styleId="13">
    <w:name w:val="标题 1 Char"/>
    <w:basedOn w:val="11"/>
    <w:link w:val="4"/>
    <w:qFormat/>
    <w:uiPriority w:val="0"/>
    <w:rPr>
      <w:rFonts w:ascii="Times New Roman" w:hAnsi="Times New Roman" w:eastAsia="仿宋"/>
      <w:b/>
      <w:bCs/>
      <w:spacing w:val="-6"/>
      <w:kern w:val="44"/>
      <w:sz w:val="44"/>
      <w:szCs w:val="44"/>
    </w:rPr>
  </w:style>
  <w:style w:type="character" w:customStyle="1" w:styleId="14">
    <w:name w:val="标题 2 Char1"/>
    <w:link w:val="5"/>
    <w:qFormat/>
    <w:uiPriority w:val="0"/>
    <w:rPr>
      <w:rFonts w:ascii="Times New Roman" w:hAnsi="Times New Roman" w:eastAsia="仿宋" w:cs="Times New Roman"/>
      <w:b/>
      <w:bCs/>
      <w:sz w:val="32"/>
      <w:szCs w:val="32"/>
    </w:rPr>
  </w:style>
  <w:style w:type="character" w:customStyle="1" w:styleId="15">
    <w:name w:val="页脚 字符1"/>
    <w:link w:val="7"/>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2022-05-25T11:58:00Z</dcterms:created>
  <dc:creator>追梦人进</dc:creator>
  <cp:lastModifiedBy>追梦人进</cp:lastModifiedBy>
  <dcterms:modified xsi:type="dcterms:W3CDTF">2022-05-25T12:06:52Z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C040BB1683214544AC0E9A91F9170A1B</vt:lpwstr>
  </property>
</Properties>
</file>